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header3.xml" ContentType="application/vnd.openxmlformats-officedocument.wordprocessingml.header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PROCESO </w:t>
      </w:r>
      <w:r>
        <w:rPr>
          <w:rFonts w:cs="Calibri"/>
          <w:b/>
          <w:sz w:val="24"/>
          <w:szCs w:val="24"/>
        </w:rPr>
        <w:t xml:space="preserve">DE GESTIÓN DE</w:t>
      </w:r>
      <w:r>
        <w:rPr>
          <w:rFonts w:cs="Calibri"/>
          <w:b/>
          <w:sz w:val="24"/>
          <w:szCs w:val="24"/>
        </w:rPr>
        <w:t xml:space="preserve"> FORMACIÓN PROFESIONAL INTEGRAL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FORMATO </w:t>
      </w:r>
      <w:r>
        <w:rPr>
          <w:rFonts w:cs="Calibri"/>
          <w:b/>
          <w:sz w:val="24"/>
          <w:szCs w:val="24"/>
        </w:rPr>
        <w:t xml:space="preserve">GUÍA DE APRENDIZAJE</w:t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line="360" w:lineRule="auto"/>
        <w:ind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1. </w:t>
      </w:r>
      <w:r>
        <w:rPr>
          <w:rFonts w:cs="Calibri"/>
          <w:b/>
          <w:sz w:val="24"/>
          <w:szCs w:val="24"/>
        </w:rPr>
        <w:t xml:space="preserve">IDENTIFICACIÓN DE LA GUIA DE APRENDIZAJE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Denominación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MANTENIMIENTO Y REPARACION DE EDIFICACIONES.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Código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836137</w:t>
      </w:r>
      <w:r>
        <w:rPr>
          <w:rFonts w:ascii="Calibri" w:hAnsi="Calibri" w:cs="Calibri"/>
          <w:sz w:val="24"/>
          <w:szCs w:val="24"/>
          <w:lang w:val="es-ES"/>
        </w:rPr>
        <w:t xml:space="preserve"> v2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Nombre del Proyecto </w:t>
      </w:r>
      <w:r>
        <w:rPr>
          <w:rFonts w:ascii="Calibri" w:hAnsi="Calibri" w:cs="Calibri"/>
          <w:sz w:val="24"/>
          <w:szCs w:val="24"/>
        </w:rPr>
        <w:t xml:space="preserve">Formativo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Fase del Proyecto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Actividad de Proyecto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Formativo (</w:t>
      </w:r>
      <w:r>
        <w:rPr>
          <w:rFonts w:ascii="Calibri" w:hAnsi="Calibri" w:cs="Calibri"/>
          <w:sz w:val="24"/>
          <w:szCs w:val="24"/>
        </w:rPr>
        <w:t xml:space="preserve">si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Competencia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Aplicar pr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ácticas de protecci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ón ambiental, seguridad y salud en el trabajo de acuerdo con las pol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íticas organizacionales y la normatividad vigente.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Resultados de Aprendizaje: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Reportar las condiciones y actos que afecten la protección del medio ambiente y la sst, de acuerdo con los lineamientos establecidos en el contexto organizacional y social</w:t>
      </w:r>
      <w:r>
        <w:rPr>
          <w:rFonts w:ascii="Calibri" w:hAnsi="Calibri" w:cs="Calibri"/>
          <w:sz w:val="24"/>
          <w:szCs w:val="24"/>
          <w:lang w:val="es-ES"/>
        </w:rPr>
        <w:t xml:space="preserve">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Duración de la Guía</w:t>
      </w:r>
      <w:r>
        <w:rPr>
          <w:rFonts w:ascii="Calibri" w:hAnsi="Calibri" w:cs="Calibri"/>
          <w:sz w:val="24"/>
          <w:szCs w:val="24"/>
        </w:rPr>
        <w:t xml:space="preserve"> de Aprendizaje</w:t>
      </w:r>
      <w:r>
        <w:rPr>
          <w:rFonts w:ascii="Calibri" w:hAnsi="Calibri" w:cs="Calibri"/>
          <w:sz w:val="24"/>
          <w:szCs w:val="24"/>
        </w:rPr>
        <w:t xml:space="preserve"> (horas):</w:t>
      </w:r>
      <w:r>
        <w:rPr>
          <w:rFonts w:ascii="Calibri" w:hAnsi="Calibri" w:cs="Calibri"/>
          <w:sz w:val="24"/>
          <w:szCs w:val="24"/>
          <w:lang w:val="es-ES"/>
        </w:rPr>
        <w:t xml:space="preserve"> 10 horas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2. PRESENTACIÓN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tabs>
          <w:tab w:val="left" w:leader="none" w:pos="3828"/>
        </w:tabs>
        <w:spacing w:line="360" w:lineRule="auto"/>
        <w:ind w:firstLine="0" w:left="0"/>
        <w:jc w:val="both"/>
        <w:rPr>
          <w:rFonts w:ascii="Calibri" w:hAnsi="Calibri" w:cs="Calibri"/>
          <w:sz w:val="24"/>
          <w:szCs w:val="24"/>
          <w:lang w:val="es-MX"/>
        </w:rPr>
      </w:pPr>
      <w:r>
        <w:rPr>
          <w:rFonts w:ascii="Calibri" w:hAnsi="Calibri" w:eastAsia="Calibri" w:cs="Calibri"/>
          <w:color w:val="000000"/>
          <w:sz w:val="24"/>
          <w:lang w:val="es-ES"/>
        </w:rPr>
        <w:t xml:space="preserve">Aprendices Sena, estas son las </w:t>
      </w:r>
      <w:r>
        <w:rPr>
          <w:rFonts w:ascii="Calibri" w:hAnsi="Calibri" w:eastAsia="Calibri" w:cs="Calibri"/>
          <w:color w:val="000000"/>
          <w:sz w:val="24"/>
          <w:lang w:val="es-ES"/>
        </w:rPr>
        <w:t xml:space="preserve">últimas sesiones de esta transversal. </w:t>
      </w:r>
      <w:r>
        <w:rPr>
          <w:rFonts w:ascii="Calibri" w:hAnsi="Calibri" w:eastAsia="Calibri" w:cs="Calibri"/>
          <w:color w:val="000000"/>
          <w:sz w:val="24"/>
        </w:rPr>
        <w:t xml:space="preserve">El cierre de este curso sobre gestión ambiental y seguridad y salud en el trabajo no es un punto final, sino el inicio de un compromiso continuo con la protección del medio ambiente y el bienestar de las personas. El documento básico de manejo ambiental y </w:t>
      </w:r>
      <w:r>
        <w:rPr>
          <w:rFonts w:ascii="Calibri" w:hAnsi="Calibri" w:eastAsia="Calibri" w:cs="Calibri"/>
          <w:color w:val="000000"/>
          <w:sz w:val="24"/>
        </w:rPr>
        <w:t xml:space="preserve">seguridad y salud en el trabajo que hemos elaborado es una herramienta clave, pero su verdadero valor radica en su aplicación y mejora constante. Invitamos a todos a mantener viva la curiosidad por aprender, a colaborar en equipo y a actuar con responsabil</w:t>
      </w:r>
      <w:r>
        <w:rPr>
          <w:rFonts w:ascii="Calibri" w:hAnsi="Calibri" w:eastAsia="Calibri" w:cs="Calibri"/>
          <w:color w:val="000000"/>
          <w:sz w:val="24"/>
        </w:rPr>
        <w:t xml:space="preserve">idad para preservar nuestro entorno y garantizar entornos laborales seguros y saludables. Juntos, podemos marcar la diferencia y construir un futuro más sostenible y equitativo para todos.</w:t>
      </w:r>
      <w:r>
        <w:rPr>
          <w:rFonts w:cs="Calibri"/>
          <w:sz w:val="24"/>
          <w:szCs w:val="24"/>
          <w:lang w:val="es-MX"/>
        </w:rPr>
        <w:br w:type="page" w:clear="all"/>
      </w:r>
      <w:r>
        <w:rPr>
          <w:rFonts w:ascii="Calibri" w:hAnsi="Calibri" w:cs="Calibri"/>
          <w:sz w:val="24"/>
          <w:szCs w:val="24"/>
          <w:lang w:val="es-MX"/>
        </w:rPr>
      </w:r>
      <w:r>
        <w:rPr>
          <w:rFonts w:ascii="Calibri" w:hAnsi="Calibri" w:cs="Calibri"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lang w:val="es-MX"/>
        </w:rPr>
        <w:t xml:space="preserve">3.  FORMULACIÓN DE LAS ACTIVIDADES DE APRENDIZAJE</w:t>
      </w:r>
      <w:r>
        <w:rPr>
          <w:rFonts w:cs="Calibri"/>
          <w:b/>
          <w:sz w:val="24"/>
          <w:szCs w:val="24"/>
          <w:lang w:val="es-MX"/>
        </w:rPr>
      </w:r>
      <w:r>
        <w:rPr>
          <w:rFonts w:cs="Calibri"/>
          <w:b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highlight w:val="none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  <w:t xml:space="preserve">3.1 </w:t>
      </w:r>
      <w:r>
        <w:rPr>
          <w:rFonts w:cs="Calibri"/>
          <w:b/>
          <w:bCs/>
          <w:sz w:val="24"/>
          <w:szCs w:val="24"/>
          <w:lang w:val="es-MX"/>
        </w:rPr>
        <w:t xml:space="preserve">Actividades de refle</w:t>
      </w:r>
      <w:r>
        <w:rPr>
          <w:rFonts w:cs="Calibri"/>
          <w:b/>
          <w:bCs/>
          <w:sz w:val="24"/>
          <w:szCs w:val="24"/>
          <w:lang w:val="es-MX"/>
        </w:rPr>
        <w:t xml:space="preserve">xi</w:t>
      </w:r>
      <w:r>
        <w:rPr>
          <w:rFonts w:cs="Calibri"/>
          <w:b/>
          <w:bCs/>
          <w:sz w:val="24"/>
          <w:szCs w:val="24"/>
          <w:lang w:val="es-MX"/>
        </w:rPr>
        <w:t xml:space="preserve">ón inicial</w:t>
      </w:r>
      <w:r>
        <w:rPr>
          <w:rFonts w:cs="Calibri"/>
          <w:b/>
          <w:bCs/>
          <w:sz w:val="24"/>
          <w:szCs w:val="24"/>
          <w:lang w:val="es-MX"/>
        </w:rPr>
        <w:t xml:space="preserve">:</w:t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3.1.1. Limitaciones y dificultades en la elaboraci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del Plan B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ásico de Manejo Ambiental y SST</w:t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lang w:val="es-ES"/>
        </w:rPr>
        <w:t xml:space="preserve">El instructor orienta un espacio para extraer las conclusiones parciales y los retos que se han presentado al momento de elaborar y preparar el documento final.</w:t>
      </w:r>
      <w:r>
        <w:rPr>
          <w:rFonts w:eastAsia="Arial" w:cs="Calibri"/>
          <w:highlight w:val="none"/>
          <w:lang w:val="es-ES"/>
        </w:rPr>
        <w:t xml:space="preserve"> El ejercicio consiste en hacer las intervenciones en Plenaria, de manera individual, tanto sobre los aspectos que les han gustado como los que no y qu</w:t>
      </w:r>
      <w:r>
        <w:rPr>
          <w:rFonts w:eastAsia="Arial" w:cs="Calibri"/>
          <w:highlight w:val="none"/>
          <w:lang w:val="es-ES"/>
        </w:rPr>
        <w:t xml:space="preserve">é dificultades se les han presentado realizando el ejercicio.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 </w:t>
      </w:r>
      <w:r>
        <w:rPr>
          <w:rFonts w:eastAsia="Arial" w:cs="Calibri"/>
          <w:bCs/>
          <w:lang w:val="es-ES"/>
        </w:rPr>
        <w:t xml:space="preserve">preguntas.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</w:t>
      </w:r>
      <w:r>
        <w:rPr>
          <w:rFonts w:eastAsia="Arial" w:cs="Calibri"/>
          <w:bCs/>
          <w:lang w:val="es-ES"/>
        </w:rPr>
        <w:t xml:space="preserve"> N/A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N/A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</w:t>
      </w:r>
      <w:r>
        <w:rPr>
          <w:rFonts w:eastAsia="Arial" w:cs="Calibri"/>
          <w:bCs/>
          <w:lang w:val="es-ES"/>
        </w:rPr>
        <w:t xml:space="preserve">0.5</w:t>
      </w:r>
      <w:r>
        <w:rPr>
          <w:rFonts w:eastAsia="Arial" w:cs="Calibri"/>
          <w:bCs/>
        </w:rPr>
        <w:t xml:space="preserve"> 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eastAsia="Arial" w:cs="Calibri"/>
          <w:bCs/>
        </w:rPr>
      </w:pPr>
      <w:r>
        <w:rPr>
          <w:rFonts w:eastAsia="Arial" w:cs="Calibri"/>
          <w:bCs/>
        </w:rPr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Style w:val="1109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</w:rPr>
      </w:pPr>
      <w:r>
        <w:rPr>
          <w:rFonts w:ascii="Calibri" w:hAnsi="Calibri" w:cs="Calibri"/>
          <w:b/>
          <w:bCs/>
        </w:rPr>
        <w:t xml:space="preserve">3.2 </w:t>
      </w:r>
      <w:r>
        <w:rPr>
          <w:rFonts w:ascii="Calibri" w:hAnsi="Calibri" w:cs="Calibri"/>
          <w:b/>
          <w:bCs/>
        </w:rPr>
        <w:t xml:space="preserve">Actividades de </w:t>
      </w:r>
      <w:r>
        <w:rPr>
          <w:rFonts w:ascii="Calibri" w:hAnsi="Calibri" w:cs="Calibri"/>
          <w:b/>
          <w:bCs/>
        </w:rPr>
        <w:t xml:space="preserve">contextualización e identificación de </w:t>
      </w:r>
      <w:r>
        <w:rPr>
          <w:rFonts w:ascii="Calibri" w:hAnsi="Calibri" w:cs="Calibri"/>
          <w:b/>
          <w:bCs/>
        </w:rPr>
        <w:t xml:space="preserve">conocimientos</w:t>
      </w:r>
      <w:r>
        <w:rPr>
          <w:rFonts w:ascii="Calibri" w:hAnsi="Calibri" w:cs="Calibri"/>
          <w:b/>
          <w:bCs/>
        </w:rPr>
        <w:t xml:space="preserve"> necesarios para el aprendizaje</w:t>
      </w:r>
      <w:r>
        <w:rPr>
          <w:rFonts w:ascii="Calibri" w:hAnsi="Calibri" w:cs="Calibri"/>
          <w:b/>
          <w:bCs/>
          <w:highlight w:val="none"/>
        </w:rPr>
      </w:r>
      <w:r>
        <w:rPr>
          <w:rFonts w:ascii="Calibri" w:hAnsi="Calibri" w:cs="Calibri"/>
          <w:b/>
          <w:bCs/>
          <w:highlight w:val="none"/>
        </w:rPr>
      </w:r>
    </w:p>
    <w:p>
      <w:pPr>
        <w:pStyle w:val="1109"/>
        <w:pBdr/>
        <w:spacing w:line="360" w:lineRule="auto"/>
        <w:ind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highlight w:val="none"/>
          <w:lang w:val="es-ES"/>
        </w:rPr>
        <w:t xml:space="preserve">3.2.1. </w:t>
      </w:r>
      <w:r>
        <w:rPr>
          <w:rFonts w:ascii="Calibri" w:hAnsi="Calibri" w:cs="Calibri"/>
          <w:b/>
          <w:bCs/>
          <w:highlight w:val="none"/>
          <w:lang w:val="es-ES"/>
        </w:rPr>
        <w:t xml:space="preserve">Programas en SST, higiene y seguridad, colores y señalizaci</w:t>
      </w:r>
      <w:r>
        <w:rPr>
          <w:rFonts w:ascii="Calibri" w:hAnsi="Calibri" w:cs="Calibri"/>
          <w:b/>
          <w:bCs/>
          <w:highlight w:val="none"/>
          <w:lang w:val="es-ES"/>
        </w:rPr>
        <w:t xml:space="preserve">ón – Reportes Ambientales y Reportes de Actos y Condiciones Inseguras</w:t>
      </w: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lang w:val="es-ES"/>
        </w:rPr>
        <w:t xml:space="preserve">1. </w:t>
      </w:r>
      <w:r>
        <w:rPr>
          <w:rFonts w:eastAsia="Arial" w:cs="Calibri"/>
          <w:lang w:val="es-ES"/>
        </w:rPr>
        <w:t xml:space="preserve">El instructor aborda los temas de programas en SST en las fases de operaci</w:t>
      </w:r>
      <w:r>
        <w:rPr>
          <w:rFonts w:eastAsia="Arial" w:cs="Calibri"/>
          <w:lang w:val="es-ES"/>
        </w:rPr>
        <w:t xml:space="preserve">ón y control, haciendo </w:t>
      </w:r>
      <w:r>
        <w:rPr>
          <w:rFonts w:eastAsia="Arial" w:cs="Calibri"/>
          <w:lang w:val="es-ES"/>
        </w:rPr>
        <w:t xml:space="preserve">énfasis en higiene industrial, seguridad industrial y medicina preventiva. Expone la norma t</w:t>
      </w:r>
      <w:r>
        <w:rPr>
          <w:rFonts w:eastAsia="Arial" w:cs="Calibri"/>
          <w:lang w:val="es-ES"/>
        </w:rPr>
        <w:t xml:space="preserve">écnica colombiana NTC1461 que tiene que ver con colores y señalizaci</w:t>
      </w:r>
      <w:r>
        <w:rPr>
          <w:rFonts w:eastAsia="Arial" w:cs="Calibri"/>
          <w:lang w:val="es-ES"/>
        </w:rPr>
        <w:t xml:space="preserve">ón. Se hace un ejercicio de visualizar en el entorno d</w:t>
      </w:r>
      <w:r>
        <w:rPr>
          <w:rFonts w:eastAsia="Arial" w:cs="Calibri"/>
          <w:lang w:val="es-ES"/>
        </w:rPr>
        <w:t xml:space="preserve">ónde se pueden ver las señalizaciones y su significado de acuerdo al color y formas.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 w:bidi="es-ES"/>
        </w:rPr>
      </w:pPr>
      <w:r>
        <w:rPr>
          <w:rFonts w:eastAsia="Arial" w:cs="Calibri"/>
          <w:highlight w:val="none"/>
          <w:lang w:val="es-ES" w:bidi="es-ES"/>
        </w:rPr>
        <w:t xml:space="preserve">2. Partiendo del Decreto 1072 de 2015 del Sector Trabajo</w:t>
      </w:r>
      <w:r>
        <w:rPr>
          <w:rFonts w:eastAsia="Arial" w:cs="Calibri"/>
          <w:highlight w:val="none"/>
          <w:lang w:val="es-ES" w:bidi="es-ES"/>
        </w:rPr>
        <w:t xml:space="preserve">, en su cap</w:t>
      </w:r>
      <w:r>
        <w:rPr>
          <w:rFonts w:eastAsia="Arial" w:cs="Calibri"/>
          <w:highlight w:val="none"/>
          <w:lang w:val="es-ES" w:bidi="es-ES"/>
        </w:rPr>
        <w:t xml:space="preserve">ítulo 6, se enuncia la importancia de los reportes de incidentes y los compromisos tanto de trabajadores como de la organizaci</w:t>
      </w:r>
      <w:r>
        <w:rPr>
          <w:rFonts w:eastAsia="Arial" w:cs="Calibri"/>
          <w:highlight w:val="none"/>
          <w:lang w:val="es-ES" w:bidi="es-ES"/>
        </w:rPr>
        <w:t xml:space="preserve">ón en su conjunto, para generar espacios de trabajo seguros y saludables. Se muestran los mecanismos, as</w:t>
      </w:r>
      <w:r>
        <w:rPr>
          <w:rFonts w:eastAsia="Arial" w:cs="Calibri"/>
          <w:highlight w:val="none"/>
          <w:lang w:val="es-ES" w:bidi="es-ES"/>
        </w:rPr>
        <w:t xml:space="preserve">í como los pasos para establecer los reportes y autoreportes tambi</w:t>
      </w:r>
      <w:r>
        <w:rPr>
          <w:rFonts w:eastAsia="Arial" w:cs="Calibri"/>
          <w:highlight w:val="none"/>
          <w:lang w:val="es-ES" w:bidi="es-ES"/>
        </w:rPr>
        <w:t xml:space="preserve">én en materia ambiental al interior de la organizaci</w:t>
      </w:r>
      <w:r>
        <w:rPr>
          <w:rFonts w:eastAsia="Arial" w:cs="Calibri"/>
          <w:highlight w:val="none"/>
          <w:lang w:val="es-ES" w:bidi="es-ES"/>
        </w:rPr>
        <w:t xml:space="preserve">ón y a las entidades encargadas del tema, en espec</w:t>
      </w:r>
      <w:r>
        <w:rPr>
          <w:rFonts w:eastAsia="Arial" w:cs="Calibri"/>
          <w:highlight w:val="none"/>
          <w:lang w:val="es-ES" w:bidi="es-ES"/>
        </w:rPr>
        <w:t xml:space="preserve">ífico las corporaciones ambientales.</w:t>
      </w: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 w:bidi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 w:bidi="es-ES"/>
        </w:rPr>
        <w:t xml:space="preserve">3. Los aprendices</w:t>
      </w:r>
      <w:r>
        <w:rPr>
          <w:rFonts w:eastAsia="Arial" w:cs="Calibri"/>
          <w:highlight w:val="none"/>
          <w:lang w:val="es-ES" w:bidi="es-ES"/>
        </w:rPr>
        <w:t xml:space="preserve"> de manera voluntaria van dando ejemplos sobre diferentes tipos de reportes de actos y condiciones inseguras y en materia ambiental.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preguntas, lluvia de ideas.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</w:t>
      </w:r>
      <w:r>
        <w:rPr>
          <w:rFonts w:eastAsia="Arial" w:cs="Calibri"/>
          <w:bCs/>
          <w:lang w:val="es-ES"/>
        </w:rPr>
        <w:t xml:space="preserve">N/A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diapositivas, preguntas.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1.5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  <w:highlight w:val="none"/>
        </w:rPr>
      </w:pPr>
      <w:r>
        <w:rPr>
          <w:rFonts w:cs="Calibri"/>
          <w:b/>
          <w:bCs/>
          <w:sz w:val="24"/>
          <w:szCs w:val="24"/>
        </w:rPr>
        <w:t xml:space="preserve">3.3 </w:t>
      </w:r>
      <w:r>
        <w:rPr>
          <w:rFonts w:cs="Calibri"/>
          <w:b/>
          <w:bCs/>
          <w:sz w:val="24"/>
          <w:szCs w:val="24"/>
        </w:rPr>
        <w:t xml:space="preserve">Actividades de </w:t>
      </w:r>
      <w:r>
        <w:rPr>
          <w:rFonts w:cs="Calibri"/>
          <w:b/>
          <w:bCs/>
          <w:sz w:val="24"/>
          <w:szCs w:val="24"/>
        </w:rPr>
        <w:t xml:space="preserve">apropiación</w:t>
      </w:r>
      <w:r>
        <w:rPr>
          <w:rFonts w:cs="Calibri"/>
          <w:b/>
          <w:bCs/>
          <w:sz w:val="24"/>
          <w:szCs w:val="24"/>
        </w:rPr>
        <w:t xml:space="preserve">:</w:t>
      </w:r>
      <w:r>
        <w:rPr>
          <w:rFonts w:cs="Calibri"/>
          <w:b/>
          <w:bCs/>
          <w:sz w:val="24"/>
          <w:szCs w:val="24"/>
          <w:highlight w:val="none"/>
        </w:rPr>
      </w:r>
      <w:r>
        <w:rPr>
          <w:rFonts w:cs="Calibri"/>
          <w:b/>
          <w:bCs/>
          <w:sz w:val="24"/>
          <w:szCs w:val="24"/>
          <w:highlight w:val="none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3.3.1. Continuaci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del Plan B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ásico de Manejo Ambiental y SST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1. Cada grupo debe continuar estructurando el documento final. Partiendo de la priorizaci</w:t>
      </w:r>
      <w:r>
        <w:rPr>
          <w:rFonts w:eastAsia="Arial" w:cs="Calibri"/>
          <w:lang w:val="es-ES"/>
        </w:rPr>
        <w:t xml:space="preserve">ón de escenarios tanto de los peligros laborales no aceptables (tipo I y II) como de los Impactos Ambientales de Alta y Media Significancia,  deben plantear medidas de intervenci</w:t>
      </w:r>
      <w:r>
        <w:rPr>
          <w:rFonts w:eastAsia="Arial" w:cs="Calibri"/>
          <w:lang w:val="es-ES"/>
        </w:rPr>
        <w:t xml:space="preserve">ón relacionadas con la prevenci</w:t>
      </w:r>
      <w:r>
        <w:rPr>
          <w:rFonts w:eastAsia="Arial" w:cs="Calibri"/>
          <w:lang w:val="es-ES"/>
        </w:rPr>
        <w:t xml:space="preserve">ón en ambos </w:t>
      </w:r>
      <w:r>
        <w:rPr>
          <w:rFonts w:eastAsia="Arial" w:cs="Calibri"/>
          <w:lang w:val="es-ES"/>
        </w:rPr>
        <w:t xml:space="preserve">ítems, de la manera m</w:t>
      </w:r>
      <w:r>
        <w:rPr>
          <w:rFonts w:eastAsia="Arial" w:cs="Calibri"/>
          <w:lang w:val="es-ES"/>
        </w:rPr>
        <w:t xml:space="preserve">ás completa posible para que el Plan quede mejor estructurado</w:t>
      </w:r>
      <w:r>
        <w:rPr>
          <w:rFonts w:eastAsia="Arial" w:cs="Calibri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2. Posteriormente, los grupos proceder</w:t>
      </w:r>
      <w:r>
        <w:rPr>
          <w:rFonts w:eastAsia="Arial" w:cs="Calibri"/>
          <w:highlight w:val="none"/>
          <w:lang w:val="es-ES"/>
        </w:rPr>
        <w:t xml:space="preserve">án a diseñar estrategias de mitigaci</w:t>
      </w:r>
      <w:r>
        <w:rPr>
          <w:rFonts w:eastAsia="Arial" w:cs="Calibri"/>
          <w:highlight w:val="none"/>
          <w:lang w:val="es-ES"/>
        </w:rPr>
        <w:t xml:space="preserve">ón de los impactos ambientales y los peligros laborales asociados a las actividades y escenarios priorizados.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aprendizaje activo contextual, trabajo colaborativo.</w:t>
      </w:r>
      <w:r>
        <w:rPr>
          <w:rFonts w:eastAsia="Arial" w:cs="Calibri"/>
          <w:bCs/>
        </w:rPr>
        <w:t xml:space="preserve"> 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papel, lapicero, marcadores.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diapositivas, documentos t</w:t>
      </w:r>
      <w:r>
        <w:rPr>
          <w:rFonts w:eastAsia="Arial" w:cs="Calibri"/>
          <w:bCs/>
          <w:lang w:val="es-ES"/>
        </w:rPr>
        <w:t xml:space="preserve">écnicos.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estrategias de prevenci</w:t>
      </w:r>
      <w:r>
        <w:rPr>
          <w:rFonts w:eastAsia="Arial" w:cs="Calibri"/>
          <w:bCs/>
          <w:lang w:val="es-ES"/>
        </w:rPr>
        <w:t xml:space="preserve">ón y mitigaci</w:t>
      </w:r>
      <w:r>
        <w:rPr>
          <w:rFonts w:eastAsia="Arial" w:cs="Calibri"/>
          <w:bCs/>
          <w:lang w:val="es-ES"/>
        </w:rPr>
        <w:t xml:space="preserve">ón elaboradas.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ejercicio </w:t>
      </w:r>
      <w:r>
        <w:rPr>
          <w:rFonts w:eastAsia="Arial" w:cs="Calibri"/>
          <w:bCs/>
          <w:lang w:val="es-ES"/>
        </w:rPr>
        <w:t xml:space="preserve">Plan B</w:t>
      </w:r>
      <w:r>
        <w:rPr>
          <w:rFonts w:eastAsia="Arial" w:cs="Calibri"/>
          <w:bCs/>
          <w:lang w:val="es-ES"/>
        </w:rPr>
        <w:t xml:space="preserve">ásico de Manejo Ambiental y SST (segunda parte</w:t>
      </w:r>
      <w:r>
        <w:rPr>
          <w:rFonts w:eastAsia="Arial" w:cs="Calibri"/>
          <w:bCs/>
          <w:lang w:val="es-ES"/>
        </w:rPr>
        <w:t xml:space="preserve">)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6 </w:t>
      </w:r>
      <w:r>
        <w:rPr>
          <w:rFonts w:eastAsia="Arial" w:cs="Calibri"/>
          <w:bCs/>
        </w:rPr>
        <w:t xml:space="preserve">horas.</w:t>
      </w:r>
      <w:r>
        <w:rPr>
          <w:rFonts w:cs="Calibri"/>
          <w:color w:val="000000"/>
          <w:sz w:val="24"/>
          <w:szCs w:val="24"/>
          <w:lang w:eastAsia="es-ES"/>
        </w:rPr>
        <w:br w:type="page" w:clear="all"/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d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e Transferencia el Conocimiento:</w:t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3.4.1. Entrega del documento final y socializaci</w:t>
      </w: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ón</w:t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1. Cada grupo deber</w:t>
      </w:r>
      <w:r>
        <w:rPr>
          <w:rFonts w:eastAsia="Arial" w:cs="Calibri"/>
          <w:lang w:val="es-ES"/>
        </w:rPr>
        <w:t xml:space="preserve">á entregar el Plan B</w:t>
      </w:r>
      <w:r>
        <w:rPr>
          <w:rFonts w:eastAsia="Arial" w:cs="Calibri"/>
          <w:lang w:val="es-ES"/>
        </w:rPr>
        <w:t xml:space="preserve">ásico de Manejo Ambiental en el formato y estructura proporcionado, anexando junto al documento las dos matrices (impactos ambientales y peligros laborales).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2. Los grupos sustentar</w:t>
      </w:r>
      <w:r>
        <w:rPr>
          <w:rFonts w:eastAsia="Arial" w:cs="Calibri"/>
          <w:highlight w:val="none"/>
          <w:lang w:val="es-ES"/>
        </w:rPr>
        <w:t xml:space="preserve">án sus trabajos finales en m</w:t>
      </w:r>
      <w:r>
        <w:rPr>
          <w:rFonts w:eastAsia="Arial" w:cs="Calibri"/>
          <w:highlight w:val="none"/>
          <w:lang w:val="es-ES"/>
        </w:rPr>
        <w:t xml:space="preserve">áximo 20 minutos.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</w:t>
      </w:r>
      <w:r>
        <w:rPr>
          <w:rFonts w:eastAsia="Arial" w:cs="Calibri"/>
          <w:bCs/>
          <w:lang w:val="es-ES"/>
        </w:rPr>
        <w:t xml:space="preserve"> aprendizaje cooperativo.</w:t>
      </w:r>
      <w:r>
        <w:rPr>
          <w:rFonts w:eastAsia="Arial" w:cs="Calibri"/>
          <w:bCs/>
        </w:rPr>
        <w:t xml:space="preserve">  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papel, lapicero, laptop.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normas t</w:t>
      </w:r>
      <w:r>
        <w:rPr>
          <w:rFonts w:eastAsia="Arial" w:cs="Calibri"/>
          <w:bCs/>
          <w:lang w:val="es-ES"/>
        </w:rPr>
        <w:t xml:space="preserve">écnicas, gu</w:t>
      </w:r>
      <w:r>
        <w:rPr>
          <w:rFonts w:eastAsia="Arial" w:cs="Calibri"/>
          <w:bCs/>
          <w:lang w:val="es-ES"/>
        </w:rPr>
        <w:t xml:space="preserve">ía para la elaboraci</w:t>
      </w:r>
      <w:r>
        <w:rPr>
          <w:rFonts w:eastAsia="Arial" w:cs="Calibri"/>
          <w:bCs/>
          <w:lang w:val="es-ES"/>
        </w:rPr>
        <w:t xml:space="preserve">ón del informe final</w:t>
      </w:r>
      <w:r>
        <w:rPr>
          <w:rFonts w:eastAsia="Arial" w:cs="Calibri"/>
          <w:bCs/>
          <w:lang w:val="es-ES"/>
        </w:rPr>
        <w:t xml:space="preserve">, diapositivas.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Plan B</w:t>
      </w:r>
      <w:r>
        <w:rPr>
          <w:rFonts w:eastAsia="Arial" w:cs="Calibri"/>
          <w:bCs/>
          <w:lang w:val="es-ES"/>
        </w:rPr>
        <w:t xml:space="preserve">ásico de Manejo Ambiental y de SST elaborado.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documento Plan B</w:t>
      </w:r>
      <w:r>
        <w:rPr>
          <w:rFonts w:eastAsia="Arial" w:cs="Calibri"/>
          <w:bCs/>
          <w:lang w:val="es-ES"/>
        </w:rPr>
        <w:t xml:space="preserve">ásico de Manejo Ambiental y SST.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2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 w:eastAsiaTheme="majorEastAsia"/>
          <w:b/>
          <w:sz w:val="24"/>
          <w:szCs w:val="24"/>
        </w:rPr>
      </w:pPr>
      <w:r>
        <w:rPr>
          <w:rFonts w:cs="Calibri"/>
          <w:b/>
          <w:color w:val="000000" w:themeColor="text1"/>
          <w:sz w:val="24"/>
          <w:szCs w:val="24"/>
        </w:rPr>
        <w:t xml:space="preserve">4. </w:t>
      </w:r>
      <w:r>
        <w:rPr>
          <w:rFonts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  <w:r>
        <w:rPr>
          <w:rFonts w:cs="Calibri" w:eastAsiaTheme="majorEastAsia"/>
          <w:b/>
          <w:sz w:val="24"/>
          <w:szCs w:val="24"/>
        </w:rPr>
      </w:r>
      <w:r>
        <w:rPr>
          <w:rFonts w:cs="Calibri" w:eastAsiaTheme="majorEastAsia"/>
          <w:b/>
          <w:sz w:val="24"/>
          <w:szCs w:val="24"/>
        </w:rPr>
      </w:r>
    </w:p>
    <w:tbl>
      <w:tblPr>
        <w:tblStyle w:val="1094"/>
        <w:tblW w:w="9629" w:type="dxa"/>
        <w:tblBorders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>
        <w:trPr>
          <w:trHeight w:val="464"/>
        </w:trPr>
        <w:tc>
          <w:tcPr>
            <w:shd w:val="clear" w:color="auto" w:fill="262626" w:themeFill="text1" w:themeFillTint="D9"/>
            <w:tcBorders/>
            <w:tcW w:w="13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Fase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34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515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Evidencias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73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Criterios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711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Técnicas e Instrumentos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</w:tr>
      <w:tr>
        <w:trPr>
          <w:trHeight w:val="795"/>
        </w:trPr>
        <w:tc>
          <w:tcPr>
            <w:tcBorders/>
            <w:tcW w:w="13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  <w:lang w:val="es-ES"/>
              </w:rPr>
              <w:t xml:space="preserve">N/A</w:t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</w:p>
        </w:tc>
        <w:tc>
          <w:tcPr>
            <w:tcBorders/>
            <w:tcW w:w="1634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  <w:lang w:val="es-ES"/>
              </w:rPr>
              <w:t xml:space="preserve">N/A</w:t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</w:p>
        </w:tc>
        <w:tc>
          <w:tcPr>
            <w:tcBorders/>
            <w:tcW w:w="1515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  <w:t xml:space="preserve">Emplear acciones de control para la protección ambiental y la SST, mediante un ejercicio de caso real.</w:t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</w:p>
        </w:tc>
        <w:tc>
          <w:tcPr>
            <w:tcBorders/>
            <w:tcW w:w="16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  <w:t xml:space="preserve">Resuelve los problemas y estudios de caso.                             Responde cuestionarios.    Realiza exposiciones.     Elabora un informe de reportes  simulado sobre actos que afectan el MA y la SST</w:t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</w:p>
        </w:tc>
        <w:tc>
          <w:tcPr>
            <w:tcBorders/>
            <w:tcW w:w="1673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  <w:t xml:space="preserve">Prepara los reportes de actos y condiciones que afectan el desempeño ambiental y de la SST según objetivo del informe y lineamientos de la organización.</w:t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</w:p>
        </w:tc>
        <w:tc>
          <w:tcPr>
            <w:tcBorders/>
            <w:tcW w:w="1711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sz w:val="24"/>
          <w:szCs w:val="24"/>
        </w:rPr>
        <w:t xml:space="preserve">5. GLOSARIO DE TÉRMINOS</w:t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lang w:val="es-ES"/>
        </w:rPr>
        <w:t xml:space="preserve">O</w:t>
      </w:r>
      <w:r>
        <w:rPr>
          <w:rFonts w:cs="Calibri"/>
          <w:b/>
          <w:bCs/>
          <w:sz w:val="22"/>
          <w:szCs w:val="22"/>
        </w:rPr>
        <w:t xml:space="preserve">rganización</w:t>
      </w:r>
      <w:r>
        <w:rPr>
          <w:b/>
          <w:bCs/>
          <w:sz w:val="22"/>
          <w:szCs w:val="22"/>
          <w:lang w:val="es-ES"/>
        </w:rPr>
        <w:t xml:space="preserve">: </w:t>
      </w:r>
      <w:r>
        <w:rPr>
          <w:rFonts w:cs="Calibri"/>
          <w:b w:val="0"/>
          <w:bCs w:val="0"/>
          <w:sz w:val="22"/>
          <w:szCs w:val="22"/>
        </w:rPr>
        <w:t xml:space="preserve">persona o grupo de personas que tiene sus propias funciones con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responsabilidades, autoridades y</w:t>
      </w:r>
      <w:r>
        <w:rPr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relaciones para el logro de sus objetivos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Trabajador</w:t>
      </w:r>
      <w:r>
        <w:rPr>
          <w:lang w:val="es-ES"/>
        </w:rPr>
        <w:t xml:space="preserve">: 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persona que realiza trabajo o actividades relacionadas con el trabajo que están bajo el control de la</w:t>
      </w:r>
      <w:r>
        <w:rPr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organización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lugar de trabajo: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lugar bajo el control de la organización donde una persona necesita estar o ir por razones de</w:t>
      </w:r>
      <w:r>
        <w:rPr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trabajo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Sistema de gestión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parte del sistema de gestión usado para gestionar aspectos ambientales,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cumplir con las obligaciones legales y los requisitos voluntarios, y tener en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cuenta el riesgo asociado con las amenazas y oportunidades.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jc w:val="both"/>
        <w:rPr>
          <w:highlight w:val="none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Sistema de gestión de la SST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: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sistema de gestión o parte de un sistema de gestión utilizado para alcanzar la política de la SST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 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Los resultados previstos del sistema de gestión de la SST son prevenir lesiones y deterioro de la 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salud a los trabajadores  y proporcionar lugares de trabajo seguros y saludables.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Lesión y deterioro de la salud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efecto adverso en la condición física, mental o cognitiva de una persona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Peligro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fuente con un potencial para causar lesiones y deterioro de la salud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Riesgo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efecto de la incertidumbre</w:t>
      </w:r>
      <w:r>
        <w:rPr>
          <w:highlight w:val="none"/>
          <w:lang w:val="es-ES" w:bidi="es-ES"/>
        </w:rPr>
        <w:t xml:space="preserve">. Probabilidad de ocurrencia. </w:t>
      </w:r>
      <w:r>
        <w:rPr>
          <w:highlight w:val="none"/>
          <w:lang w:val="es-ES" w:bidi="es-ES"/>
        </w:rPr>
        <w:t xml:space="preserve">Con frecuencia el riesgo se caracteriza por referencia a “eventos” potenciales</w:t>
      </w:r>
      <w:r>
        <w:rPr>
          <w:highlight w:val="none"/>
          <w:lang w:val="es-ES" w:bidi="es-ES"/>
        </w:rPr>
        <w:t xml:space="preserve"> y sus consecuencias.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Incidente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suceso que surge del trabajo o en el transcurso del trabajo que podría tener como resultado</w:t>
      </w:r>
      <w:r>
        <w:rPr>
          <w:highlight w:val="none"/>
          <w:lang w:val="es-ES" w:bidi="es-ES"/>
        </w:rPr>
        <w:t xml:space="preserve"> </w:t>
      </w:r>
      <w:r>
        <w:rPr>
          <w:highlight w:val="none"/>
          <w:lang w:val="es-ES" w:bidi="es-ES"/>
        </w:rPr>
        <w:t xml:space="preserve">lesiones y deterioro de la salud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/>
        </w:rPr>
      </w:pPr>
      <w:r>
        <w:rPr>
          <w:b/>
          <w:bCs/>
          <w:highlight w:val="none"/>
          <w:lang w:val="es-ES" w:bidi="es-ES"/>
        </w:rPr>
        <w:t xml:space="preserve">Accidente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Suceso repentino que sobreviene por causa o con ocasión del trabajo, </w:t>
      </w:r>
      <w:r>
        <w:rPr>
          <w:highlight w:val="none"/>
          <w:lang w:val="es-ES" w:bidi="es-ES"/>
        </w:rPr>
        <w:t xml:space="preserve">y que produce en el trabajador una lesión orgánica, una perturbación funcional, una invalidez o la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muerte. Es también accidente de trabajo aquel que se produce durante la ejecución de órdenes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del empleador, o durante la ejecución de una labor bajo su autoridad, incluso fuera del lugar y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horas de trabajo</w:t>
      </w:r>
      <w:r>
        <w:rPr>
          <w:lang w:val="es-ES"/>
        </w:rPr>
        <w:t xml:space="preserve">.</w:t>
      </w:r>
      <w:r>
        <w:rPr>
          <w:highlight w:val="none"/>
          <w:lang w:val="es-ES"/>
        </w:rPr>
      </w:r>
      <w:r>
        <w:rPr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b w:val="0"/>
          <w:bCs w:val="0"/>
          <w:highlight w:val="none"/>
        </w:rPr>
      </w:pPr>
      <w:r>
        <w:rPr>
          <w:b/>
          <w:bCs/>
          <w:highlight w:val="none"/>
          <w:lang w:val="es-ES" w:bidi="es-ES"/>
        </w:rPr>
        <w:t xml:space="preserve">Actos inseguros:</w:t>
      </w:r>
      <w:r>
        <w:rPr>
          <w:b w:val="0"/>
          <w:bCs w:val="0"/>
          <w:highlight w:val="none"/>
          <w:lang w:val="es-ES" w:bidi="es-ES"/>
        </w:rPr>
        <w:t xml:space="preserve"> violaci</w:t>
      </w:r>
      <w:r>
        <w:rPr>
          <w:b w:val="0"/>
          <w:bCs w:val="0"/>
          <w:highlight w:val="none"/>
          <w:lang w:val="es-ES" w:bidi="es-ES"/>
        </w:rPr>
        <w:t xml:space="preserve">ón a los procedimientos y las normas considerados. Son comportamientos que podr</w:t>
      </w:r>
      <w:r>
        <w:rPr>
          <w:b w:val="0"/>
          <w:bCs w:val="0"/>
          <w:highlight w:val="none"/>
          <w:lang w:val="es-ES" w:bidi="es-ES"/>
        </w:rPr>
        <w:t xml:space="preserve">ían dar paso a accidentes o incidentes.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Bdr/>
        <w:spacing w:after="0" w:line="360" w:lineRule="auto"/>
        <w:ind/>
        <w:jc w:val="both"/>
        <w:rPr>
          <w:b w:val="0"/>
          <w:bCs w:val="0"/>
          <w:highlight w:val="none"/>
        </w:rPr>
      </w:pPr>
      <w:r>
        <w:rPr>
          <w:b/>
          <w:bCs/>
          <w:highlight w:val="none"/>
          <w:lang w:val="es-ES" w:bidi="es-ES"/>
        </w:rPr>
        <w:t xml:space="preserve">Condiciones inseguras:</w:t>
      </w:r>
      <w:r>
        <w:rPr>
          <w:b w:val="0"/>
          <w:bCs w:val="0"/>
          <w:highlight w:val="none"/>
          <w:lang w:val="es-ES" w:bidi="es-ES"/>
        </w:rPr>
        <w:t xml:space="preserve"> defectos o falta de diseño en las instalaciones (falta de iluminaci</w:t>
      </w:r>
      <w:r>
        <w:rPr>
          <w:b w:val="0"/>
          <w:bCs w:val="0"/>
          <w:highlight w:val="none"/>
          <w:lang w:val="es-ES" w:bidi="es-ES"/>
        </w:rPr>
        <w:t xml:space="preserve">ón, p</w:t>
      </w:r>
      <w:r>
        <w:rPr>
          <w:b w:val="0"/>
          <w:bCs w:val="0"/>
          <w:highlight w:val="none"/>
          <w:lang w:val="es-ES" w:bidi="es-ES"/>
        </w:rPr>
        <w:t xml:space="preserve">aredes defectuosas, pisos resbaladizos, etc.). Son circunstancias que pueden provocar un accidente o incidente.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M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</w:rPr>
        <w:t xml:space="preserve">edio ambiente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: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entorno en el cual una organización opera, incluidos el aire, el agua, la tierra, los</w:t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recursos naturales, la flora, la fauna, los seres humanos y sus interrelaciones.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sz w:val="22"/>
          <w:szCs w:val="22"/>
        </w:rPr>
      </w:r>
      <w:r>
        <w:rPr>
          <w:rFonts w:ascii="Calibri" w:hAnsi="Calibri" w:eastAsia="Calibri" w:cs="Calibri"/>
          <w:b/>
          <w:sz w:val="22"/>
          <w:szCs w:val="22"/>
          <w:lang w:val="es-ES"/>
        </w:rPr>
        <w:t xml:space="preserve">Problema ambiental: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alteración o modificación negativa sobre los sistemas naturales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 del planeta. Por tanto, un problema ambiental que puede ser local o llegar a ser global, siempre empieza por algún tipo de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impacto negativo en la naturaleza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.</w:t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impacto ambiental</w:t>
      </w:r>
      <w:r>
        <w:rPr>
          <w:rFonts w:ascii="Calibri" w:hAnsi="Calibri" w:eastAsia="Calibri" w:cs="Calibri"/>
          <w:b/>
          <w:bCs/>
          <w:sz w:val="22"/>
          <w:szCs w:val="22"/>
          <w:lang w:val="es-ES"/>
        </w:rPr>
        <w:t xml:space="preserve">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cambio en el medio ambiente, ya sea adverso o beneficioso, como resultado total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o parcial de los aspectos ambientales  de una organización.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Prevención de la contaminación: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utilización de procesos, prácticas, técnicas, materiales, productos, servicios o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energía para evitar, reducir o controlar (en forma separada o en combinación) la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creación, emisión o descarga de cualquier tipo de contaminante o residuo, con el fin de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reducir los impactos ambientales adversos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Incidente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Evento súbito o imprevisible generado por causas naturales,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humanas o tecnológicas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que incidan en la actividad de la organización y que generen o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puedan generar impactos ambientales.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/>
      </w:pP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Plan de Manejo Ambiental (PMA)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: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Instrumento de manejo y control ambiental que se puede</w:t>
      </w:r>
      <w:r>
        <w:rPr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requerir a los proyectos, obras o actividades listados en el</w:t>
      </w:r>
      <w:r>
        <w:rPr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Artículo 2.2.2.3.2.3. del Decreto 1076 de mayo 26 de 2015,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conforme al régimen de transición vigente.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Comprende las medidas y actividades orientadas a prevenir,</w:t>
      </w:r>
      <w:r>
        <w:rPr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corregir o compensar los impactos y efectos ambientales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identificados que se estén causando por el desarrollo del pro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yecto, obra o actividad.</w:t>
      </w:r>
      <w:r/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6. REFERENTES BILBIOGRÁFICOS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rPr/>
      </w:pP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Organización Internacional de Normalización (ISO). (2015). Sistemas de gestión Ambiental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– Requisitos con orientación para su uso (Norma ISO 14001:2015).</w:t>
      </w:r>
      <w:r/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Organización Internacional de Normalización (ISO). (2018). Sistemas de gestión de la seguridad y salud en el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trabajo – Requisitos con orientación para su uso (Norma ISO 45001:2018). Disponible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en: </w:t>
      </w:r>
      <w:hyperlink r:id="rId17" w:tooltip="https://www.iso.org/standard/63787.html" w:history="1">
        <w:r>
          <w:rPr>
            <w:rStyle w:val="1092"/>
            <w:rFonts w:cs="Calibri"/>
            <w:b w:val="0"/>
            <w:bCs w:val="0"/>
            <w:sz w:val="22"/>
            <w:szCs w:val="22"/>
          </w:rPr>
          <w:t xml:space="preserve">https://www.iso.org/standard/63787.html</w:t>
        </w:r>
        <w:r>
          <w:rPr>
            <w:rStyle w:val="1092"/>
            <w:sz w:val="22"/>
            <w:szCs w:val="22"/>
          </w:rPr>
        </w:r>
        <w:r>
          <w:rPr>
            <w:rStyle w:val="1092"/>
            <w:sz w:val="22"/>
            <w:szCs w:val="22"/>
          </w:rPr>
        </w:r>
      </w:hyperlink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Guía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T</w:t>
      </w:r>
      <w:r>
        <w:rPr>
          <w:rFonts w:cs="Calibri"/>
          <w:b w:val="0"/>
          <w:bCs w:val="0"/>
          <w:sz w:val="22"/>
          <w:szCs w:val="22"/>
        </w:rPr>
        <w:t xml:space="preserve">écnica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</w:t>
      </w:r>
      <w:r>
        <w:rPr>
          <w:rFonts w:cs="Calibri"/>
          <w:b w:val="0"/>
          <w:bCs w:val="0"/>
          <w:sz w:val="22"/>
          <w:szCs w:val="22"/>
        </w:rPr>
        <w:t xml:space="preserve">olombiana GTC</w:t>
      </w:r>
      <w:r>
        <w:rPr>
          <w:rFonts w:cs="Calibri"/>
          <w:b w:val="0"/>
          <w:bCs w:val="0"/>
          <w:sz w:val="22"/>
          <w:szCs w:val="22"/>
        </w:rPr>
        <w:t xml:space="preserve">45: Guía para la identificación de los peligros y la valoración de los riesgos en seguridad y salud ocupacional.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Bogotá, Colombia: ICONTEC.</w:t>
      </w: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  <w:highlight w:val="none"/>
          <w:lang w:val="es-ES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Decreto 1076 de 2015 Sector Ambiente y Desarrollo Sostenible</w:t>
      </w:r>
      <w:r>
        <w:rPr>
          <w:sz w:val="22"/>
          <w:szCs w:val="22"/>
          <w:lang w:val="es-ES"/>
        </w:rPr>
        <w:t xml:space="preserve">. Departamento Administrativo para la Funci</w:t>
      </w:r>
      <w:r>
        <w:rPr>
          <w:sz w:val="22"/>
          <w:szCs w:val="22"/>
          <w:lang w:val="es-ES"/>
        </w:rPr>
        <w:t xml:space="preserve">ón P</w:t>
      </w:r>
      <w:r>
        <w:rPr>
          <w:sz w:val="22"/>
          <w:szCs w:val="22"/>
          <w:lang w:val="es-ES"/>
        </w:rPr>
        <w:t xml:space="preserve">ública. Bogot</w:t>
      </w:r>
      <w:r>
        <w:rPr>
          <w:sz w:val="22"/>
          <w:szCs w:val="22"/>
          <w:lang w:val="es-ES"/>
        </w:rPr>
        <w:t xml:space="preserve">á DC.</w:t>
      </w: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  <w:highlight w:val="none"/>
          <w:lang w:val="es-ES"/>
        </w:rPr>
      </w:pP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  <w:highlight w:val="none"/>
          <w:lang w:val="es-ES"/>
        </w:rPr>
      </w:pPr>
      <w:r>
        <w:rPr>
          <w:sz w:val="22"/>
          <w:szCs w:val="22"/>
          <w:highlight w:val="none"/>
          <w:lang w:val="es-ES" w:bidi="es-ES"/>
        </w:rPr>
        <w:t xml:space="preserve">Norma T</w:t>
      </w:r>
      <w:r>
        <w:rPr>
          <w:sz w:val="22"/>
          <w:szCs w:val="22"/>
          <w:highlight w:val="none"/>
          <w:lang w:val="es-ES" w:bidi="es-ES"/>
        </w:rPr>
        <w:t xml:space="preserve">écnica Colombiana NTC 1461. Higiene y Seguridad. Colores y Señalizaci</w:t>
      </w:r>
      <w:r>
        <w:rPr>
          <w:sz w:val="22"/>
          <w:szCs w:val="22"/>
          <w:highlight w:val="none"/>
          <w:lang w:val="es-ES" w:bidi="es-ES"/>
        </w:rPr>
        <w:t xml:space="preserve">ón</w:t>
      </w:r>
      <w:r>
        <w:rPr>
          <w:sz w:val="22"/>
          <w:szCs w:val="22"/>
          <w:highlight w:val="none"/>
          <w:lang w:val="es-ES" w:bidi="es-ES"/>
        </w:rPr>
        <w:t xml:space="preserve">. Bogot</w:t>
      </w:r>
      <w:r>
        <w:rPr>
          <w:sz w:val="22"/>
          <w:szCs w:val="22"/>
          <w:highlight w:val="none"/>
          <w:lang w:val="es-ES" w:bidi="es-ES"/>
        </w:rPr>
        <w:t xml:space="preserve">á, Colombia: ICONTEC.</w:t>
      </w: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  <w:highlight w:val="none"/>
          <w:lang w:val="es-ES"/>
        </w:rPr>
      </w:r>
    </w:p>
    <w:p>
      <w:pPr>
        <w:pBdr/>
        <w:spacing w:after="0" w:line="240" w:lineRule="auto"/>
        <w:ind/>
        <w:rPr>
          <w:rFonts w:cs="Calibri"/>
          <w:b w:val="0"/>
          <w:bCs w:val="0"/>
          <w:sz w:val="24"/>
          <w:szCs w:val="24"/>
        </w:rPr>
      </w:pPr>
      <w:r>
        <w:rPr>
          <w:rFonts w:cs="Calibri"/>
          <w:b w:val="0"/>
          <w:bCs w:val="0"/>
          <w:sz w:val="24"/>
          <w:szCs w:val="24"/>
          <w:highlight w:val="none"/>
          <w:lang w:val="es-ES"/>
        </w:rPr>
      </w: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</w:p>
    <w:p>
      <w:pPr>
        <w:pBdr/>
        <w:spacing w:after="0" w:line="24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lang w:val="es-ES"/>
        </w:rPr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Corporaci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ón Aut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ónoma Regional del Valle del Cauca -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CVC.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Establecimiento de Planes de Manejo Ambiental.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Normatividad: Ley 99 de 1993 - Decreto 1076 de 2015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7. CONTROL DEL DOCUMENTO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55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>
          <w:trHeight w:val="365"/>
        </w:trPr>
        <w:tc>
          <w:tcPr>
            <w:tcBorders/>
            <w:tcW w:w="12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Autor (es)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69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Francisco Javier Vera Muñoz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Instructor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Formaci</w:t>
            </w:r>
            <w:r>
              <w:rPr>
                <w:rFonts w:cs="Calibri"/>
                <w:b/>
                <w:lang w:val="es-ES"/>
              </w:rPr>
              <w:t xml:space="preserve">ón CDITI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30 de diciembre de 2025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</w:tbl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8. CONTROL DE CAMBIOS </w:t>
      </w:r>
      <w:r>
        <w:rPr>
          <w:rFonts w:cs="Calibri"/>
          <w:sz w:val="24"/>
          <w:szCs w:val="24"/>
        </w:rPr>
        <w:t xml:space="preserve">(diligenciar únicamente si realiza ajustes a la guía)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7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0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79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93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Razón del Cambio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/>
        <w:tc>
          <w:tcPr>
            <w:tcBorders/>
            <w:tcW w:w="123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Autor (es)</w: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267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0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79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93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spacing w:after="0" w:line="360" w:lineRule="auto"/>
        <w:ind/>
        <w:rPr>
          <w:rFonts w:cs="Calibri"/>
          <w:color w:val="000000" w:themeColor="text1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notePr/>
      <w:endnotePr/>
      <w:type w:val="nextPage"/>
      <w:pgSz w:h="15840" w:orient="portrait" w:w="12240"/>
      <w:pgMar w:top="1779" w:right="1041" w:bottom="1418" w:left="1560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  <w:endnote w:type="continuationNotice" w:id="1">
    <w:p>
      <w:pPr>
        <w:pBdr/>
        <w:spacing w:after="0" w:line="240" w:lineRule="auto"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linga">
    <w:panose1 w:val="020B05020405040202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Noto Sans">
    <w:panose1 w:val="020B0502040504020204"/>
  </w:font>
  <w:font w:name="Lucida Grande">
    <w:panose1 w:val="05040102010807070707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jc w:val="right"/>
      <w:rPr>
        <w:color w:val="595959" w:themeColor="text1" w:themeTint="A6"/>
        <w:sz w:val="18"/>
      </w:rPr>
    </w:pP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</w:p>
  <w:p>
    <w:pPr>
      <w:pStyle w:val="1079"/>
      <w:pBdr/>
      <w:spacing/>
      <w:ind/>
      <w:jc w:val="center"/>
      <w:rPr/>
    </w:pPr>
    <w:r>
      <w:t xml:space="preserve">GFPI-F-</w:t>
    </w:r>
    <w:r>
      <w:t xml:space="preserve">135 V</w:t>
    </w:r>
    <w:r>
      <w:t xml:space="preserve">04</w:t>
    </w:r>
    <w:r/>
  </w:p>
  <w:p>
    <w:pPr>
      <w:pStyle w:val="1079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  <w:footnote w:type="continuationNotice" w:id="1">
    <w:p>
      <w:pPr>
        <w:pBdr/>
        <w:spacing w:after="0" w:line="240" w:lineRule="auto"/>
        <w:ind/>
        <w:rPr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  <w:r/>
  </w:p>
  <w:p>
    <w:pPr>
      <w:pStyle w:val="1077"/>
      <w:pBdr/>
      <w:tabs>
        <w:tab w:val="clear" w:leader="none" w:pos="4419"/>
        <w:tab w:val="right" w:leader="none" w:pos="8413"/>
        <w:tab w:val="clear" w:leader="none" w:pos="8838"/>
      </w:tabs>
      <w:spacing/>
      <w:ind/>
      <w:jc w:val="center"/>
      <w:rPr/>
    </w:pPr>
    <w:r>
      <w:rPr>
        <w:lang w:eastAsia="es-CO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92455" cy="561340"/>
              <wp:effectExtent l="0" t="0" r="0" b="0"/>
              <wp:docPr id="1" name="Imagen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2455" cy="561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6.65pt;height:44.2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608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2" name="PowerPlusWaterMarkObject1171519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5" o:spid="_x0000_s1" o:spt="1" type="#_x0000_t1" style="position:absolute;z-index:-4294446080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>
        <w:lang w:val="es-ES" w:eastAsia="es-ES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403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3" name="PowerPlusWaterMarkObject1171519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4" o:spid="_x0000_s2" o:spt="1" type="#_x0000_t1" style="position:absolute;z-index:-4294444032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lang w:val="es-ES" w:eastAsia="es-ES"/>
      </w:rPr>
    </w:r>
    <w:r>
      <w:rPr>
        <w:lang w:val="es-ES" w:eastAsia="es-ES"/>
      </w:rPr>
    </w:r>
  </w:p>
  <w:p>
    <w:pPr>
      <w:pStyle w:val="1077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EDA011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1">
    <w:nsid w:val="CEF5A307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2">
    <w:nsid w:val="073A6647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  <w:b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  <w:color w:val="auto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</w:abstractNum>
  <w:abstractNum w:abstractNumId="3">
    <w:nsid w:val="0EE17206"/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rFonts w:ascii="Noto Sans" w:hAnsi="Noto Sans" w:eastAsia="Noto Sans" w:cs="Noto San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hanging="360" w:left="2160"/>
      </w:pPr>
      <w:rPr>
        <w:rFonts w:ascii="Noto Sans" w:hAnsi="Noto Sans" w:eastAsia="Noto Sans" w:cs="Noto Sans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rFonts w:ascii="Noto Sans" w:hAnsi="Noto Sans" w:eastAsia="Noto Sans" w:cs="Noto Sans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hanging="360" w:left="4320"/>
      </w:pPr>
      <w:rPr>
        <w:rFonts w:ascii="Noto Sans" w:hAnsi="Noto Sans" w:eastAsia="Noto Sans" w:cs="Noto Sans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rFonts w:ascii="Noto Sans" w:hAnsi="Noto Sans" w:eastAsia="Noto Sans" w:cs="Noto Sans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hanging="360" w:left="6480"/>
      </w:pPr>
      <w:rPr>
        <w:rFonts w:ascii="Noto Sans" w:hAnsi="Noto Sans" w:eastAsia="Noto Sans" w:cs="Noto Sans"/>
      </w:rPr>
      <w:start w:val="1"/>
      <w:suff w:val="tab"/>
    </w:lvl>
  </w:abstractNum>
  <w:abstractNum w:abstractNumId="4">
    <w:nsid w:val="0F74769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11D130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14EC46C9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7">
    <w:nsid w:val="1BCA4B2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nsid w:val="1C06587B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9">
    <w:nsid w:val="30351926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Calibri" w:hAnsi="Calibri" w:eastAsia="Calibri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329421D4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nsid w:val="418306A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Arial" w:hAnsi="Arial" w:cs="Arial" w:eastAsiaTheme="minorHAnsi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3">
    <w:nsid w:val="44B62FD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4">
    <w:nsid w:val="534C41C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555D1E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57D97AC9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nsid w:val="58D0668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nsid w:val="5CBD7E0D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cs="Kalinga"/>
        <w:color w:val="000000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720"/>
      </w:pPr>
      <w:rPr>
        <w:rFonts w:hint="default" w:cs="Kalinga"/>
        <w:color w:val="000000"/>
      </w:rPr>
      <w:start w:val="6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440"/>
      </w:pPr>
      <w:rPr>
        <w:rFonts w:hint="default" w:cs="Kalinga"/>
        <w:color w:val="000000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1800"/>
      </w:pPr>
      <w:rPr>
        <w:rFonts w:hint="default" w:cs="Kalinga"/>
        <w:color w:val="00000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520"/>
      </w:pPr>
      <w:rPr>
        <w:rFonts w:hint="default" w:cs="Kalinga"/>
        <w:color w:val="00000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2880"/>
      </w:pPr>
      <w:rPr>
        <w:rFonts w:hint="default" w:cs="Kalinga"/>
        <w:color w:val="00000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3600"/>
      </w:pPr>
      <w:rPr>
        <w:rFonts w:hint="default" w:cs="Kalinga"/>
        <w:color w:val="00000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3960"/>
      </w:pPr>
      <w:rPr>
        <w:rFonts w:hint="default" w:cs="Kalinga"/>
        <w:color w:val="00000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4680"/>
      </w:pPr>
      <w:rPr>
        <w:rFonts w:hint="default" w:cs="Kalinga"/>
        <w:color w:val="000000"/>
      </w:rPr>
      <w:start w:val="1"/>
      <w:suff w:val="tab"/>
    </w:lvl>
  </w:abstractNum>
  <w:abstractNum w:abstractNumId="19">
    <w:nsid w:val="66FD552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0">
    <w:nsid w:val="69A94638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1">
    <w:nsid w:val="69C168C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2">
    <w:nsid w:val="6A917EA4"/>
    <w:lvl w:ilvl="0">
      <w:isLgl w:val="false"/>
      <w:lvlJc w:val="left"/>
      <w:lvlText w:val=""/>
      <w:numFmt w:val="bullet"/>
      <w:pPr>
        <w:pBdr/>
        <w:spacing/>
        <w:ind w:hanging="360" w:left="765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1485"/>
      </w:pPr>
      <w:rPr>
        <w:rFonts w:hint="default" w:ascii="Calibri" w:hAnsi="Calibri" w:eastAsia="Calibri" w:cs="Times New Roman"/>
      </w:rPr>
      <w:start w:val="0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4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0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25"/>
      </w:pPr>
      <w:rPr>
        <w:rFonts w:hint="default" w:ascii="Wingdings" w:hAnsi="Wingdings"/>
      </w:rPr>
      <w:start w:val="1"/>
      <w:suff w:val="tab"/>
    </w:lvl>
  </w:abstractNum>
  <w:abstractNum w:abstractNumId="23">
    <w:nsid w:val="702A3E1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4">
    <w:nsid w:val="71231B5C"/>
    <w:styleLink w:val="1088"/>
    <w:lvl w:ilvl="0">
      <w:isLgl w:val="false"/>
      <w:lvlJc w:val="left"/>
      <w:lvlText w:val=""/>
      <w:numFmt w:val="bullet"/>
      <w:pPr>
        <w:pBdr/>
        <w:spacing/>
        <w:ind w:hanging="360" w:left="360"/>
      </w:pPr>
      <w:pStyle w:val="1088"/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"/>
      <w:numFmt w:val="bullet"/>
      <w:pPr>
        <w:pBdr/>
        <w:spacing/>
        <w:ind w:hanging="360" w:left="720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0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"/>
      <w:numFmt w:val="bullet"/>
      <w:pPr>
        <w:pBdr/>
        <w:spacing/>
        <w:ind w:hanging="360" w:left="1800"/>
      </w:pPr>
      <w:rPr>
        <w:rFonts w:hint="default" w:ascii="Symbol" w:hAnsi="Symbol"/>
      </w:rPr>
      <w:start w:val="1"/>
      <w:suff w:val="tab"/>
    </w:lvl>
    <w:lvl w:ilvl="5">
      <w:isLgl w:val="false"/>
      <w:lvlJc w:val="left"/>
      <w:lvlText w:val="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8">
      <w:isLgl w:val="false"/>
      <w:lvlJc w:val="left"/>
      <w:lvlText w:val="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</w:abstractNum>
  <w:abstractNum w:abstractNumId="25">
    <w:nsid w:val="73A2550D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26">
    <w:nsid w:val="7AF56352"/>
    <w:lvl w:ilvl="0">
      <w:isLgl w:val="false"/>
      <w:lvlJc w:val="left"/>
      <w:lvlText w:val="%1."/>
      <w:numFmt w:val="lowerLetter"/>
      <w:pPr>
        <w:pBdr/>
        <w:spacing/>
        <w:ind w:hanging="360" w:left="785"/>
      </w:pPr>
      <w:rPr>
        <w:i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27">
    <w:nsid w:val="7C0C2B4A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8">
    <w:nsid w:val="7C7276B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9">
    <w:nsid w:val="7D0B71E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2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2"/>
  </w:num>
  <w:num w:numId="9">
    <w:abstractNumId w:val="9"/>
  </w:num>
  <w:num w:numId="10">
    <w:abstractNumId w:val="23"/>
  </w:num>
  <w:num w:numId="11">
    <w:abstractNumId w:val="6"/>
  </w:num>
  <w:num w:numId="12">
    <w:abstractNumId w:val="5"/>
  </w:num>
  <w:num w:numId="13">
    <w:abstractNumId w:val="13"/>
  </w:num>
  <w:num w:numId="14">
    <w:abstractNumId w:val="14"/>
  </w:num>
  <w:num w:numId="15">
    <w:abstractNumId w:val="20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6">
    <w:abstractNumId w:val="27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7">
    <w:abstractNumId w:val="28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8">
    <w:abstractNumId w:val="19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9">
    <w:abstractNumId w:val="8"/>
  </w:num>
  <w:num w:numId="20">
    <w:abstractNumId w:val="18"/>
  </w:num>
  <w:num w:numId="21">
    <w:abstractNumId w:val="12"/>
  </w:num>
  <w:num w:numId="22">
    <w:abstractNumId w:val="11"/>
  </w:num>
  <w:num w:numId="23">
    <w:abstractNumId w:val="10"/>
  </w:num>
  <w:num w:numId="24">
    <w:abstractNumId w:val="21"/>
  </w:num>
  <w:num w:numId="25">
    <w:abstractNumId w:val="7"/>
  </w:num>
  <w:num w:numId="26">
    <w:abstractNumId w:val="1"/>
  </w:num>
  <w:num w:numId="27">
    <w:abstractNumId w:val="0"/>
  </w:num>
  <w:num w:numId="28">
    <w:abstractNumId w:val="3"/>
  </w:num>
  <w:num w:numId="29">
    <w:abstractNumId w:val="17"/>
  </w:num>
  <w:num w:numId="30">
    <w:abstractNumId w:val="4"/>
  </w:num>
  <w:num w:numId="31">
    <w:abstractNumId w:val="30"/>
  </w:num>
  <w:num w:numId="32">
    <w:abstractNumId w:val="31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es-CO" w:eastAsia="es-E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99">
    <w:name w:val="Table Grid Light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Plain Table 1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Plain Table 2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Plain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Plain Table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Plain Table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1 Light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1 Light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1 Light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1 Light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1 Light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1 Light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1 Light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2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2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2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2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2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2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3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3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3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3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3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3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4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4 - Accent 1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4 - Accent 2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4 - Accent 3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4 - Accent 4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4 - Accent 5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4 - Accent 6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5 Dark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5 Dark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b0d2fb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5 Dark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c3ed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5 Dark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c2f7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5 Dark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2f4c8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5 Dark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ae4d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5 Dark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7cfcf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6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6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6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6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6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6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Grid Table 6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7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7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Grid Table 7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Grid Table 7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Grid Table 7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Grid Table 7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Grid Table 7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1 Light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1 Light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1 Light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1 Light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1 Light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1 Light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1 Light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2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2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2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2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2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2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3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3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3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3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3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3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4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4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4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4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4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4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5 Dark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5 Dark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052f61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5 Dark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04ac9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5 Dark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ce7c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5 Dark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aadf5d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5 Dark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1b08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5 Dark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67373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6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6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6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6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6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6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6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7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st Table 7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st Table 7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7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st Table 7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st Table 7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st Table 7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ned - Accent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ned - Accent 1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ned - Accent 2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ned - Accent 3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ned - Accent 4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Lined - Accent 5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Lined - Accent 6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Bordered &amp; Lined - Accent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Bordered &amp; Lined - Accent 1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Bordered &amp; Lined - Accent 2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Bordered &amp; Lined - Accent 3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Bordered &amp; Lined - Accent 4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Bordered &amp; Lined - Accent 5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Bordered &amp; Lined - Accent 6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Bordered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Bordered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Bordered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Bordered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Bordered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Bordered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Bordered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24">
    <w:name w:val="Heading 4"/>
    <w:basedOn w:val="1069"/>
    <w:next w:val="1069"/>
    <w:link w:val="103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25">
    <w:name w:val="Heading 5"/>
    <w:basedOn w:val="1069"/>
    <w:next w:val="1069"/>
    <w:link w:val="103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26">
    <w:name w:val="Heading 6"/>
    <w:basedOn w:val="1069"/>
    <w:next w:val="1069"/>
    <w:link w:val="103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27">
    <w:name w:val="Heading 7"/>
    <w:basedOn w:val="1069"/>
    <w:next w:val="1069"/>
    <w:link w:val="103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28">
    <w:name w:val="Heading 8"/>
    <w:basedOn w:val="1069"/>
    <w:next w:val="1069"/>
    <w:link w:val="103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29">
    <w:name w:val="Heading 9"/>
    <w:basedOn w:val="1069"/>
    <w:next w:val="1069"/>
    <w:link w:val="103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30">
    <w:name w:val="Heading 1 Char"/>
    <w:basedOn w:val="1073"/>
    <w:link w:val="107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31">
    <w:name w:val="Heading 2 Char"/>
    <w:basedOn w:val="1073"/>
    <w:link w:val="107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32">
    <w:name w:val="Heading 3 Char"/>
    <w:basedOn w:val="1073"/>
    <w:link w:val="10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33">
    <w:name w:val="Heading 4 Char"/>
    <w:basedOn w:val="1073"/>
    <w:link w:val="102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34">
    <w:name w:val="Heading 5 Char"/>
    <w:basedOn w:val="1073"/>
    <w:link w:val="10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35">
    <w:name w:val="Heading 6 Char"/>
    <w:basedOn w:val="1073"/>
    <w:link w:val="102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36">
    <w:name w:val="Heading 7 Char"/>
    <w:basedOn w:val="1073"/>
    <w:link w:val="102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37">
    <w:name w:val="Heading 8 Char"/>
    <w:basedOn w:val="1073"/>
    <w:link w:val="102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38">
    <w:name w:val="Heading 9 Char"/>
    <w:basedOn w:val="1073"/>
    <w:link w:val="102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39">
    <w:name w:val="Title"/>
    <w:basedOn w:val="1069"/>
    <w:next w:val="1069"/>
    <w:link w:val="104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40">
    <w:name w:val="Title Char"/>
    <w:basedOn w:val="1073"/>
    <w:link w:val="103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41">
    <w:name w:val="Subtitle"/>
    <w:basedOn w:val="1069"/>
    <w:next w:val="1069"/>
    <w:link w:val="104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42">
    <w:name w:val="Subtitle Char"/>
    <w:basedOn w:val="1073"/>
    <w:link w:val="104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43">
    <w:name w:val="Quote"/>
    <w:basedOn w:val="1069"/>
    <w:next w:val="1069"/>
    <w:link w:val="104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44">
    <w:name w:val="Quote Char"/>
    <w:basedOn w:val="1073"/>
    <w:link w:val="104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45">
    <w:name w:val="Intense Emphasis"/>
    <w:basedOn w:val="107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46">
    <w:name w:val="Intense Quote"/>
    <w:basedOn w:val="1069"/>
    <w:next w:val="1069"/>
    <w:link w:val="104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47">
    <w:name w:val="Intense Quote Char"/>
    <w:basedOn w:val="1073"/>
    <w:link w:val="104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48">
    <w:name w:val="Intense Reference"/>
    <w:basedOn w:val="107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049">
    <w:name w:val="Subtle Emphasis"/>
    <w:basedOn w:val="107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50">
    <w:name w:val="Emphasis"/>
    <w:basedOn w:val="1073"/>
    <w:uiPriority w:val="20"/>
    <w:qFormat/>
    <w:pPr>
      <w:pBdr/>
      <w:spacing/>
      <w:ind/>
    </w:pPr>
    <w:rPr>
      <w:i/>
      <w:iCs/>
    </w:rPr>
  </w:style>
  <w:style w:type="character" w:styleId="1051">
    <w:name w:val="Subtle Reference"/>
    <w:basedOn w:val="107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52">
    <w:name w:val="Book Title"/>
    <w:basedOn w:val="107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053">
    <w:name w:val="Header Char"/>
    <w:basedOn w:val="1073"/>
    <w:link w:val="1077"/>
    <w:uiPriority w:val="99"/>
    <w:pPr>
      <w:pBdr/>
      <w:spacing/>
      <w:ind/>
    </w:pPr>
  </w:style>
  <w:style w:type="character" w:styleId="1054">
    <w:name w:val="Footer Char"/>
    <w:basedOn w:val="1073"/>
    <w:link w:val="1079"/>
    <w:uiPriority w:val="99"/>
    <w:pPr>
      <w:pBdr/>
      <w:spacing/>
      <w:ind/>
    </w:pPr>
  </w:style>
  <w:style w:type="paragraph" w:styleId="1055">
    <w:name w:val="Caption"/>
    <w:basedOn w:val="1069"/>
    <w:next w:val="106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1056">
    <w:name w:val="Footnote Text Char"/>
    <w:basedOn w:val="1073"/>
    <w:link w:val="1104"/>
    <w:uiPriority w:val="99"/>
    <w:semiHidden/>
    <w:pPr>
      <w:pBdr/>
      <w:spacing/>
      <w:ind/>
    </w:pPr>
    <w:rPr>
      <w:sz w:val="20"/>
      <w:szCs w:val="20"/>
    </w:rPr>
  </w:style>
  <w:style w:type="paragraph" w:styleId="1057">
    <w:name w:val="endnote text"/>
    <w:basedOn w:val="1069"/>
    <w:link w:val="105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58">
    <w:name w:val="Endnote Text Char"/>
    <w:basedOn w:val="1073"/>
    <w:link w:val="1057"/>
    <w:uiPriority w:val="99"/>
    <w:semiHidden/>
    <w:pPr>
      <w:pBdr/>
      <w:spacing/>
      <w:ind/>
    </w:pPr>
    <w:rPr>
      <w:sz w:val="20"/>
      <w:szCs w:val="20"/>
    </w:rPr>
  </w:style>
  <w:style w:type="character" w:styleId="1059">
    <w:name w:val="endnote reference"/>
    <w:basedOn w:val="1073"/>
    <w:uiPriority w:val="99"/>
    <w:semiHidden/>
    <w:unhideWhenUsed/>
    <w:pPr>
      <w:pBdr/>
      <w:spacing/>
      <w:ind/>
    </w:pPr>
    <w:rPr>
      <w:vertAlign w:val="superscript"/>
    </w:rPr>
  </w:style>
  <w:style w:type="character" w:styleId="1060">
    <w:name w:val="FollowedHyperlink"/>
    <w:basedOn w:val="107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61">
    <w:name w:val="toc 4"/>
    <w:basedOn w:val="1069"/>
    <w:next w:val="1069"/>
    <w:uiPriority w:val="39"/>
    <w:unhideWhenUsed/>
    <w:pPr>
      <w:pBdr/>
      <w:spacing w:after="100"/>
      <w:ind w:left="660"/>
    </w:pPr>
  </w:style>
  <w:style w:type="paragraph" w:styleId="1062">
    <w:name w:val="toc 5"/>
    <w:basedOn w:val="1069"/>
    <w:next w:val="1069"/>
    <w:uiPriority w:val="39"/>
    <w:unhideWhenUsed/>
    <w:pPr>
      <w:pBdr/>
      <w:spacing w:after="100"/>
      <w:ind w:left="880"/>
    </w:pPr>
  </w:style>
  <w:style w:type="paragraph" w:styleId="1063">
    <w:name w:val="toc 6"/>
    <w:basedOn w:val="1069"/>
    <w:next w:val="1069"/>
    <w:uiPriority w:val="39"/>
    <w:unhideWhenUsed/>
    <w:pPr>
      <w:pBdr/>
      <w:spacing w:after="100"/>
      <w:ind w:left="1100"/>
    </w:pPr>
  </w:style>
  <w:style w:type="paragraph" w:styleId="1064">
    <w:name w:val="toc 7"/>
    <w:basedOn w:val="1069"/>
    <w:next w:val="1069"/>
    <w:uiPriority w:val="39"/>
    <w:unhideWhenUsed/>
    <w:pPr>
      <w:pBdr/>
      <w:spacing w:after="100"/>
      <w:ind w:left="1320"/>
    </w:pPr>
  </w:style>
  <w:style w:type="paragraph" w:styleId="1065">
    <w:name w:val="toc 8"/>
    <w:basedOn w:val="1069"/>
    <w:next w:val="1069"/>
    <w:uiPriority w:val="39"/>
    <w:unhideWhenUsed/>
    <w:pPr>
      <w:pBdr/>
      <w:spacing w:after="100"/>
      <w:ind w:left="1540"/>
    </w:pPr>
  </w:style>
  <w:style w:type="paragraph" w:styleId="1066">
    <w:name w:val="toc 9"/>
    <w:basedOn w:val="1069"/>
    <w:next w:val="1069"/>
    <w:uiPriority w:val="39"/>
    <w:unhideWhenUsed/>
    <w:pPr>
      <w:pBdr/>
      <w:spacing w:after="100"/>
      <w:ind w:left="1760"/>
    </w:pPr>
  </w:style>
  <w:style w:type="character" w:styleId="1067">
    <w:name w:val="Placeholder Text"/>
    <w:basedOn w:val="1073"/>
    <w:uiPriority w:val="99"/>
    <w:semiHidden/>
    <w:pPr>
      <w:pBdr/>
      <w:spacing/>
      <w:ind/>
    </w:pPr>
    <w:rPr>
      <w:color w:val="666666"/>
    </w:rPr>
  </w:style>
  <w:style w:type="paragraph" w:styleId="1068">
    <w:name w:val="table of figures"/>
    <w:basedOn w:val="1069"/>
    <w:next w:val="1069"/>
    <w:uiPriority w:val="99"/>
    <w:unhideWhenUsed/>
    <w:pPr>
      <w:pBdr/>
      <w:spacing w:after="0" w:afterAutospacing="0"/>
      <w:ind/>
    </w:pPr>
  </w:style>
  <w:style w:type="paragraph" w:styleId="1069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1070">
    <w:name w:val="Heading 1"/>
    <w:basedOn w:val="1069"/>
    <w:next w:val="1069"/>
    <w:link w:val="1084"/>
    <w:uiPriority w:val="9"/>
    <w:qFormat/>
    <w:pPr>
      <w:pBdr/>
      <w:spacing w:line="360" w:lineRule="auto"/>
      <w:ind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1071">
    <w:name w:val="Heading 2"/>
    <w:basedOn w:val="1069"/>
    <w:next w:val="1069"/>
    <w:link w:val="1085"/>
    <w:uiPriority w:val="9"/>
    <w:unhideWhenUsed/>
    <w:qFormat/>
    <w:pPr>
      <w:pBdr/>
      <w:spacing w:line="240" w:lineRule="auto"/>
      <w:ind/>
      <w:jc w:val="center"/>
      <w:outlineLvl w:val="1"/>
    </w:pPr>
    <w:rPr>
      <w:rFonts w:cs="Arial"/>
      <w:color w:val="262626"/>
      <w:szCs w:val="24"/>
    </w:rPr>
  </w:style>
  <w:style w:type="paragraph" w:styleId="1072">
    <w:name w:val="Heading 3"/>
    <w:basedOn w:val="1069"/>
    <w:next w:val="1069"/>
    <w:link w:val="1102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character" w:styleId="1073" w:default="1">
    <w:name w:val="Default Paragraph Font"/>
    <w:uiPriority w:val="1"/>
    <w:semiHidden/>
    <w:unhideWhenUsed/>
    <w:pPr>
      <w:pBdr/>
      <w:spacing/>
      <w:ind/>
    </w:pPr>
  </w:style>
  <w:style w:type="table" w:styleId="107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75" w:default="1">
    <w:name w:val="No List"/>
    <w:uiPriority w:val="99"/>
    <w:semiHidden/>
    <w:unhideWhenUsed/>
    <w:pPr>
      <w:pBdr/>
      <w:spacing/>
      <w:ind/>
    </w:pPr>
  </w:style>
  <w:style w:type="paragraph" w:styleId="1076" w:customStyle="1">
    <w:name w:val="Lista multicolor - Énfasis 11"/>
    <w:basedOn w:val="1069"/>
    <w:uiPriority w:val="34"/>
    <w:qFormat/>
    <w:pPr>
      <w:pBdr/>
      <w:spacing/>
      <w:ind w:left="720"/>
      <w:contextualSpacing w:val="true"/>
    </w:pPr>
  </w:style>
  <w:style w:type="paragraph" w:styleId="1077">
    <w:name w:val="Header"/>
    <w:basedOn w:val="1069"/>
    <w:link w:val="1078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78" w:customStyle="1">
    <w:name w:val="Encabezado Car"/>
    <w:basedOn w:val="1073"/>
    <w:link w:val="1077"/>
    <w:uiPriority w:val="99"/>
    <w:pPr>
      <w:pBdr/>
      <w:spacing/>
      <w:ind/>
    </w:pPr>
  </w:style>
  <w:style w:type="paragraph" w:styleId="1079">
    <w:name w:val="Footer"/>
    <w:basedOn w:val="1069"/>
    <w:link w:val="1080"/>
    <w:uiPriority w:val="99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80" w:customStyle="1">
    <w:name w:val="Pie de página Car"/>
    <w:basedOn w:val="1073"/>
    <w:link w:val="1079"/>
    <w:uiPriority w:val="99"/>
    <w:pPr>
      <w:pBdr/>
      <w:spacing/>
      <w:ind/>
    </w:pPr>
  </w:style>
  <w:style w:type="paragraph" w:styleId="1081">
    <w:name w:val="Balloon Text"/>
    <w:basedOn w:val="1069"/>
    <w:link w:val="1082"/>
    <w:uiPriority w:val="99"/>
    <w:semiHidden/>
    <w:unhideWhenUsed/>
    <w:pPr>
      <w:pBdr/>
      <w:spacing w:after="0" w:line="240" w:lineRule="auto"/>
      <w:ind/>
    </w:pPr>
    <w:rPr>
      <w:rFonts w:ascii="Lucida Grande" w:hAnsi="Lucida Grande" w:cs="Lucida Grande"/>
      <w:sz w:val="18"/>
      <w:szCs w:val="18"/>
    </w:rPr>
  </w:style>
  <w:style w:type="character" w:styleId="1082" w:customStyle="1">
    <w:name w:val="Texto de globo Car"/>
    <w:link w:val="1081"/>
    <w:uiPriority w:val="99"/>
    <w:semiHidden/>
    <w:pPr>
      <w:pBdr/>
      <w:spacing/>
      <w:ind/>
    </w:pPr>
    <w:rPr>
      <w:rFonts w:ascii="Lucida Grande" w:hAnsi="Lucida Grande" w:cs="Lucida Grande"/>
      <w:sz w:val="18"/>
      <w:szCs w:val="18"/>
    </w:rPr>
  </w:style>
  <w:style w:type="character" w:styleId="1083" w:customStyle="1">
    <w:name w:val="Encabezado Car1"/>
    <w:pPr>
      <w:pBdr/>
      <w:spacing/>
      <w:ind/>
    </w:pPr>
    <w:rPr>
      <w:rFonts w:ascii="Calibri" w:hAnsi="Calibri" w:eastAsia="Calibri"/>
      <w:sz w:val="22"/>
      <w:szCs w:val="22"/>
      <w:lang w:eastAsia="ar-SA"/>
    </w:rPr>
  </w:style>
  <w:style w:type="character" w:styleId="1084" w:customStyle="1">
    <w:name w:val="Título 1 Car"/>
    <w:link w:val="1070"/>
    <w:uiPriority w:val="9"/>
    <w:pPr>
      <w:pBdr/>
      <w:spacing/>
      <w:ind/>
    </w:pPr>
    <w:rPr>
      <w:rFonts w:cs="Arial"/>
      <w:b/>
      <w:color w:val="262626"/>
      <w:sz w:val="28"/>
      <w:szCs w:val="24"/>
      <w:lang w:eastAsia="en-US"/>
    </w:rPr>
  </w:style>
  <w:style w:type="character" w:styleId="1085" w:customStyle="1">
    <w:name w:val="Título 2 Car"/>
    <w:link w:val="1071"/>
    <w:uiPriority w:val="9"/>
    <w:pPr>
      <w:pBdr/>
      <w:spacing/>
      <w:ind/>
    </w:pPr>
    <w:rPr>
      <w:rFonts w:cs="Arial"/>
      <w:color w:val="262626"/>
      <w:sz w:val="22"/>
      <w:szCs w:val="24"/>
      <w:lang w:eastAsia="en-US"/>
    </w:rPr>
  </w:style>
  <w:style w:type="paragraph" w:styleId="1086">
    <w:name w:val="List Paragraph"/>
    <w:basedOn w:val="1069"/>
    <w:link w:val="1087"/>
    <w:uiPriority w:val="34"/>
    <w:qFormat/>
    <w:pPr>
      <w:pBdr/>
      <w:spacing/>
      <w:ind w:left="720"/>
      <w:contextualSpacing w:val="true"/>
    </w:pPr>
    <w:rPr>
      <w:rFonts w:asciiTheme="minorHAnsi" w:hAnsiTheme="minorHAnsi" w:eastAsiaTheme="minorHAnsi" w:cstheme="minorBidi"/>
    </w:rPr>
  </w:style>
  <w:style w:type="character" w:styleId="1087" w:customStyle="1">
    <w:name w:val="Párrafo de lista Car"/>
    <w:link w:val="1086"/>
    <w:uiPriority w:val="34"/>
    <w:pPr>
      <w:pBdr/>
      <w:spacing/>
      <w:ind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1088" w:customStyle="1">
    <w:name w:val="Estilo1"/>
    <w:uiPriority w:val="99"/>
    <w:pPr>
      <w:numPr>
        <w:numId w:val="1"/>
      </w:numPr>
      <w:pBdr/>
      <w:spacing/>
      <w:ind/>
    </w:pPr>
  </w:style>
  <w:style w:type="paragraph" w:styleId="1089">
    <w:name w:val="TOC Heading"/>
    <w:basedOn w:val="1070"/>
    <w:next w:val="1069"/>
    <w:uiPriority w:val="39"/>
    <w:unhideWhenUsed/>
    <w:qFormat/>
    <w:pPr>
      <w:keepNext w:val="true"/>
      <w:keepLines w:val="true"/>
      <w:pBdr/>
      <w:spacing w:after="0" w:before="240" w:line="259" w:lineRule="auto"/>
      <w:ind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1090">
    <w:name w:val="toc 1"/>
    <w:basedOn w:val="1069"/>
    <w:next w:val="1069"/>
    <w:uiPriority w:val="39"/>
    <w:unhideWhenUsed/>
    <w:pPr>
      <w:pBdr/>
      <w:spacing w:after="100"/>
      <w:ind/>
    </w:pPr>
  </w:style>
  <w:style w:type="paragraph" w:styleId="1091">
    <w:name w:val="toc 2"/>
    <w:basedOn w:val="1069"/>
    <w:next w:val="1069"/>
    <w:uiPriority w:val="39"/>
    <w:unhideWhenUsed/>
    <w:pPr>
      <w:pBdr/>
      <w:spacing w:after="100"/>
      <w:ind w:left="220"/>
    </w:pPr>
  </w:style>
  <w:style w:type="character" w:styleId="1092">
    <w:name w:val="Hyperlink"/>
    <w:basedOn w:val="1073"/>
    <w:uiPriority w:val="99"/>
    <w:unhideWhenUsed/>
    <w:pPr>
      <w:pBdr/>
      <w:spacing/>
      <w:ind/>
    </w:pPr>
    <w:rPr>
      <w:color w:val="0d2e46" w:themeColor="hyperlink"/>
      <w:u w:val="single"/>
    </w:rPr>
  </w:style>
  <w:style w:type="table" w:styleId="1093" w:customStyle="1">
    <w:name w:val="Tabla de cuadrícula 4 - Énfasis 11"/>
    <w:basedOn w:val="1074"/>
    <w:uiPriority w:val="49"/>
    <w:pPr>
      <w:pBdr/>
      <w:spacing/>
      <w:ind/>
    </w:pPr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52f61" w:themeFill="accent1"/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52f61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4">
    <w:name w:val="Table Grid"/>
    <w:basedOn w:val="1074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95">
    <w:name w:val="annotation reference"/>
    <w:basedOn w:val="1073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96">
    <w:name w:val="annotation text"/>
    <w:basedOn w:val="1069"/>
    <w:link w:val="1097"/>
    <w:uiPriority w:val="99"/>
    <w:unhideWhenUsed/>
    <w:pPr>
      <w:pBdr/>
      <w:spacing w:line="240" w:lineRule="auto"/>
      <w:ind/>
    </w:pPr>
    <w:rPr>
      <w:sz w:val="20"/>
      <w:szCs w:val="20"/>
    </w:rPr>
  </w:style>
  <w:style w:type="character" w:styleId="1097" w:customStyle="1">
    <w:name w:val="Texto comentario Car"/>
    <w:basedOn w:val="1073"/>
    <w:link w:val="1096"/>
    <w:uiPriority w:val="99"/>
    <w:pPr>
      <w:pBdr/>
      <w:spacing/>
      <w:ind/>
    </w:pPr>
    <w:rPr>
      <w:lang w:eastAsia="en-US"/>
    </w:rPr>
  </w:style>
  <w:style w:type="paragraph" w:styleId="1098">
    <w:name w:val="annotation subject"/>
    <w:basedOn w:val="1096"/>
    <w:next w:val="1096"/>
    <w:link w:val="1099"/>
    <w:uiPriority w:val="99"/>
    <w:semiHidden/>
    <w:unhideWhenUsed/>
    <w:pPr>
      <w:pBdr/>
      <w:spacing/>
      <w:ind/>
    </w:pPr>
    <w:rPr>
      <w:b/>
      <w:bCs/>
    </w:rPr>
  </w:style>
  <w:style w:type="character" w:styleId="1099" w:customStyle="1">
    <w:name w:val="Asunto del comentario Car"/>
    <w:basedOn w:val="1097"/>
    <w:link w:val="1098"/>
    <w:uiPriority w:val="99"/>
    <w:semiHidden/>
    <w:pPr>
      <w:pBdr/>
      <w:spacing/>
      <w:ind/>
    </w:pPr>
    <w:rPr>
      <w:b/>
      <w:bCs/>
      <w:lang w:eastAsia="en-US"/>
    </w:rPr>
  </w:style>
  <w:style w:type="paragraph" w:styleId="1100">
    <w:name w:val="No Spacing"/>
    <w:link w:val="1101"/>
    <w:uiPriority w:val="1"/>
    <w:qFormat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1" w:customStyle="1">
    <w:name w:val="Sin espaciado Car"/>
    <w:basedOn w:val="1073"/>
    <w:link w:val="1100"/>
    <w:uiPriority w:val="1"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2" w:customStyle="1">
    <w:name w:val="Título 3 Car"/>
    <w:basedOn w:val="1073"/>
    <w:link w:val="1072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1103">
    <w:name w:val="toc 3"/>
    <w:basedOn w:val="1069"/>
    <w:next w:val="1069"/>
    <w:uiPriority w:val="39"/>
    <w:unhideWhenUsed/>
    <w:pPr>
      <w:pBdr/>
      <w:spacing w:after="100"/>
      <w:ind w:left="440"/>
    </w:pPr>
  </w:style>
  <w:style w:type="paragraph" w:styleId="1104">
    <w:name w:val="footnote text"/>
    <w:basedOn w:val="1069"/>
    <w:link w:val="110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05" w:customStyle="1">
    <w:name w:val="Texto nota pie Car"/>
    <w:basedOn w:val="1073"/>
    <w:link w:val="1104"/>
    <w:uiPriority w:val="99"/>
    <w:semiHidden/>
    <w:pPr>
      <w:pBdr/>
      <w:spacing/>
      <w:ind/>
    </w:pPr>
    <w:rPr>
      <w:lang w:eastAsia="en-US"/>
    </w:rPr>
  </w:style>
  <w:style w:type="character" w:styleId="1106">
    <w:name w:val="footnote reference"/>
    <w:basedOn w:val="1073"/>
    <w:uiPriority w:val="99"/>
    <w:semiHidden/>
    <w:unhideWhenUsed/>
    <w:pPr>
      <w:pBdr/>
      <w:spacing/>
      <w:ind/>
    </w:pPr>
    <w:rPr>
      <w:vertAlign w:val="superscript"/>
    </w:rPr>
  </w:style>
  <w:style w:type="table" w:styleId="1107">
    <w:name w:val="Light Grid Accent 3"/>
    <w:basedOn w:val="1074"/>
    <w:uiPriority w:val="62"/>
    <w:pPr>
      <w:pBdr/>
      <w:spacing/>
      <w:ind/>
    </w:pPr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108">
    <w:name w:val="Normal (Web)"/>
    <w:basedOn w:val="1069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1109" w:customStyle="1">
    <w:name w:val="Default"/>
    <w:pPr>
      <w:pBdr/>
      <w:spacing/>
      <w:ind/>
    </w:pPr>
    <w:rPr>
      <w:rFonts w:ascii="Times New Roman" w:hAnsi="Times New Roman"/>
      <w:color w:val="000000"/>
      <w:sz w:val="24"/>
      <w:szCs w:val="24"/>
    </w:rPr>
  </w:style>
  <w:style w:type="character" w:styleId="1110">
    <w:name w:val="Strong"/>
    <w:basedOn w:val="1073"/>
    <w:uiPriority w:val="22"/>
    <w:qFormat/>
    <w:pPr>
      <w:pBdr/>
      <w:spacing/>
      <w:ind/>
    </w:pPr>
    <w:rPr>
      <w:b/>
      <w:bCs/>
    </w:rPr>
  </w:style>
  <w:style w:type="character" w:styleId="1111" w:customStyle="1">
    <w:name w:val="apple-converted-space"/>
    <w:basedOn w:val="1073"/>
    <w:pPr>
      <w:pBdr/>
      <w:spacing/>
      <w:ind/>
    </w:pPr>
  </w:style>
  <w:style w:type="paragraph" w:styleId="1112">
    <w:name w:val="HTML Top of Form"/>
    <w:basedOn w:val="1069"/>
    <w:next w:val="1069"/>
    <w:link w:val="1113"/>
    <w:hidden/>
    <w:uiPriority w:val="99"/>
    <w:semiHidden/>
    <w:unhideWhenUsed/>
    <w:pPr>
      <w:pBdr>
        <w:bottom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3" w:customStyle="1">
    <w:name w:val="z-Principio del formulario Car"/>
    <w:basedOn w:val="1073"/>
    <w:link w:val="1112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  <w:style w:type="paragraph" w:styleId="1114">
    <w:name w:val="HTML Bottom of Form"/>
    <w:basedOn w:val="1069"/>
    <w:next w:val="1069"/>
    <w:link w:val="1115"/>
    <w:hidden/>
    <w:uiPriority w:val="99"/>
    <w:semiHidden/>
    <w:unhideWhenUsed/>
    <w:pPr>
      <w:pBdr>
        <w:top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5" w:customStyle="1">
    <w:name w:val="z-Final del formulario Car"/>
    <w:basedOn w:val="1073"/>
    <w:link w:val="1114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https://www.iso.org/standard/63787.htm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Arial"/>
        <a:cs typeface="Arial"/>
      </a:majorFont>
      <a:minorFont>
        <a:latin typeface="Century Gothic"/>
        <a:ea typeface="Arial"/>
        <a:cs typeface="Arial"/>
      </a:minorFont>
    </a:fontScheme>
    <a:fmtScheme name="Sector">
      <a:fillStyleLst>
        <a:solidFill>
          <a:schemeClr val="phClr"/>
        </a:solidFill>
        <a:gradFill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hueMod val="94000"/>
              <a:alpha val="60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Toshiba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revision>123</cp:revision>
  <dcterms:created xsi:type="dcterms:W3CDTF">2023-05-11T21:49:00Z</dcterms:created>
  <dcterms:modified xsi:type="dcterms:W3CDTF">2025-12-23T11:41:50Z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